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4C" w:rsidRPr="00B21150" w:rsidRDefault="0016514C" w:rsidP="0016514C">
      <w:pPr>
        <w:autoSpaceDE w:val="0"/>
        <w:adjustRightInd w:val="0"/>
        <w:snapToGrid w:val="0"/>
        <w:spacing w:line="360" w:lineRule="auto"/>
        <w:rPr>
          <w:rFonts w:ascii="黑体" w:eastAsia="黑体" w:hAnsi="黑体"/>
          <w:color w:val="000000" w:themeColor="text1"/>
          <w:sz w:val="32"/>
          <w:szCs w:val="32"/>
        </w:rPr>
      </w:pPr>
      <w:r w:rsidRPr="00B21150">
        <w:rPr>
          <w:rFonts w:ascii="黑体" w:eastAsia="黑体" w:hAnsi="黑体" w:hint="eastAsia"/>
          <w:color w:val="000000" w:themeColor="text1"/>
          <w:sz w:val="32"/>
          <w:szCs w:val="32"/>
        </w:rPr>
        <w:t>附件</w:t>
      </w:r>
      <w:bookmarkStart w:id="0" w:name="_GoBack"/>
      <w:bookmarkEnd w:id="0"/>
    </w:p>
    <w:p w:rsidR="0016514C" w:rsidRPr="00B21150" w:rsidRDefault="0016514C" w:rsidP="0016514C">
      <w:pPr>
        <w:autoSpaceDE w:val="0"/>
        <w:adjustRightInd w:val="0"/>
        <w:snapToGrid w:val="0"/>
        <w:spacing w:line="360" w:lineRule="auto"/>
        <w:jc w:val="center"/>
        <w:rPr>
          <w:rFonts w:asciiTheme="majorEastAsia" w:eastAsiaTheme="majorEastAsia" w:hAnsiTheme="majorEastAsia"/>
          <w:color w:val="000000" w:themeColor="text1"/>
          <w:sz w:val="36"/>
          <w:szCs w:val="36"/>
        </w:rPr>
      </w:pPr>
      <w:r w:rsidRPr="00B21150">
        <w:rPr>
          <w:rFonts w:asciiTheme="majorEastAsia" w:eastAsiaTheme="majorEastAsia" w:hAnsiTheme="majorEastAsia" w:hint="eastAsia"/>
          <w:color w:val="000000" w:themeColor="text1"/>
          <w:sz w:val="36"/>
          <w:szCs w:val="36"/>
        </w:rPr>
        <w:t>2</w:t>
      </w:r>
      <w:r w:rsidRPr="00B21150">
        <w:rPr>
          <w:rFonts w:asciiTheme="majorEastAsia" w:eastAsiaTheme="majorEastAsia" w:hAnsiTheme="majorEastAsia"/>
          <w:color w:val="000000" w:themeColor="text1"/>
          <w:sz w:val="36"/>
          <w:szCs w:val="36"/>
        </w:rPr>
        <w:t>020</w:t>
      </w:r>
      <w:r w:rsidRPr="00B21150">
        <w:rPr>
          <w:rFonts w:asciiTheme="majorEastAsia" w:eastAsiaTheme="majorEastAsia" w:hAnsiTheme="majorEastAsia" w:hint="eastAsia"/>
          <w:color w:val="000000" w:themeColor="text1"/>
          <w:sz w:val="36"/>
          <w:szCs w:val="36"/>
        </w:rPr>
        <w:t>年教师教学竞赛项目一览表</w:t>
      </w:r>
    </w:p>
    <w:tbl>
      <w:tblPr>
        <w:tblStyle w:val="a5"/>
        <w:tblW w:w="10348" w:type="dxa"/>
        <w:jc w:val="center"/>
        <w:tblLook w:val="04A0"/>
      </w:tblPr>
      <w:tblGrid>
        <w:gridCol w:w="457"/>
        <w:gridCol w:w="5079"/>
        <w:gridCol w:w="3820"/>
        <w:gridCol w:w="992"/>
      </w:tblGrid>
      <w:tr w:rsidR="0016514C" w:rsidTr="00D06D19">
        <w:trPr>
          <w:trHeight w:val="495"/>
          <w:jc w:val="center"/>
        </w:trPr>
        <w:tc>
          <w:tcPr>
            <w:tcW w:w="457" w:type="dxa"/>
            <w:vAlign w:val="center"/>
          </w:tcPr>
          <w:p w:rsidR="0016514C" w:rsidRDefault="0016514C" w:rsidP="00D06D19">
            <w:pPr>
              <w:pStyle w:val="a6"/>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序号</w:t>
            </w:r>
          </w:p>
        </w:tc>
        <w:tc>
          <w:tcPr>
            <w:tcW w:w="5079" w:type="dxa"/>
            <w:vAlign w:val="center"/>
          </w:tcPr>
          <w:p w:rsidR="0016514C" w:rsidRDefault="0016514C" w:rsidP="00D06D19">
            <w:pPr>
              <w:pStyle w:val="a6"/>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比赛名称</w:t>
            </w:r>
          </w:p>
        </w:tc>
        <w:tc>
          <w:tcPr>
            <w:tcW w:w="3820" w:type="dxa"/>
            <w:vAlign w:val="center"/>
          </w:tcPr>
          <w:p w:rsidR="0016514C" w:rsidRDefault="0016514C" w:rsidP="00D06D19">
            <w:pPr>
              <w:pStyle w:val="a6"/>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主办单位</w:t>
            </w:r>
          </w:p>
        </w:tc>
        <w:tc>
          <w:tcPr>
            <w:tcW w:w="992" w:type="dxa"/>
            <w:vAlign w:val="center"/>
          </w:tcPr>
          <w:p w:rsidR="0016514C" w:rsidRDefault="0016514C" w:rsidP="00D06D19">
            <w:pPr>
              <w:pStyle w:val="a6"/>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拟定级别</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全国高校青年教师教学竞赛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中国教科文卫体工会全国委员会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“高校辅导员年度人物”推选展示活动</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教育部思政司</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全国高校辅导员素质能力大赛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教育部思想政治工作司</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全国高校思想政治理论课教学展示活动</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教育部社科司</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全国普通高等学校美术教育专业教师基本功展示</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教育部体育卫生与艺术教育司</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6</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全国普通高等学校音乐教育专业教师基本功展示</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教育部体育卫生与艺术教育司</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7</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全国高校微课教学比赛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教育部全国高校教师网络培训中心</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284"/>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8</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“外教社杯”全国高校外语教学大赛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教育部高等学校外国语言文学类专业教学指导委员会、教育部高等学校大学外语教学指导委员会、教育部职业院校外语类专业教学指导委员会、上海外语教育出版社主办</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9</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外研社“教学之星”大赛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教育部高等学校大学外语教学指导委员会、教育部高等学校英语专业教学指导分委员会、外语教学与研究出版社</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10</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中国外语微课大赛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中国高等教育学会、高等教育出版社</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11</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全国高等院校英语教师教学基本功大赛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高等学校大学外语教学研究会、全国高等师范院校外语教学与研究协作组</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12</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全国高校数学微课程教学设计竞赛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教育部高等学校大学数学课程教学指导委员会、教育部全国高等学校教学研究中心</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13</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全国高等学校物理基础课程青年教师讲课比赛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教育部高等学校大学物理基础课程教学指导委员会、教育部高等学校物理学类专业教学指导委员会和中国物理学会物理教学委员会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14</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高等学校物理基础课程（实验课）青年教师讲课比赛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教育部高等学校大学物理基础课程教学指导委员会、教育部高等学校</w:t>
            </w:r>
            <w:r>
              <w:rPr>
                <w:rFonts w:ascii="仿宋" w:eastAsia="仿宋" w:hAnsi="仿宋" w:hint="eastAsia"/>
                <w:color w:val="000000" w:themeColor="text1"/>
                <w:sz w:val="24"/>
                <w:szCs w:val="24"/>
              </w:rPr>
              <w:lastRenderedPageBreak/>
              <w:t>物理学类专业教学指导委员会和中国物理学会物理教学委员会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15</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全国高校经管类实验教学案例大赛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高等学校国家级实验教学示范中心联席会经管学科组、中国高等教育学会高等财经教育分会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16</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全国高等院校工程应用技术教师大赛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中国高等教育学会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17</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全国高等学校教师图学与机械课程示范教学与创新教学法观摩竞赛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教育部高等学校工程图学课程教学指导委员会、中国图学学会制图技术专业委员会和中国人民解放军院校图学与机械基础教学协作联席会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18</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全国基础力学青年教师讲课比赛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教育部高等学校力学基础课程教学指导委员会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19</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全国高等学校测绘类专业青年教师讲课竞赛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教育部高等学校测绘类专业教学指导委员会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20</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全国高等学校电子信息类专业青年教师授课竞赛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教育部高等学校电子信息类专业教学指导委员会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21</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全国高等学校青年教师电子技术基础、电子线路课程授课竞赛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教育部高等学校电工电子基础课程教学指导委员会、中国电子学会电子线路教学与产业专家委员会、全国高等学校电子技术研究会、北京航空航天大学和高等教育出版社</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22</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全国高等学校青年教师电路、信号与系统、电磁场课程教学竞赛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教育部高等学校电工电子基础课程教学指导委员会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23</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全国高校自动化专业青年教师实验设备设计创客大赛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教育部高等学校自动化类专业教学指导委员会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24</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全国电工电子基础课程实验教学案例设计竞赛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教育部电工电子基础课程教学指导委员会、国家级实验教学示范中心联席会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25</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全国高等学校青年教师电工学课程教学竞赛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教育部电工电子基础课程教学指导委员会、中国高等学校电工学研究会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26</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全国高等学校结构力学及弹性力学青年教师讲课竞赛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教育部高等学校力学基础课程教学指导委员会，结构力学和弹性力学课程教学指导小组</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27</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全国高等学校建筑材料青年教师讲课比赛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全国高等学校建筑材料学科研究会、CCPA教育与人力资源委员会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28</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全国高校GIS青年教师讲课竞赛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教育部高等学校地理科学类专业教学指导委员会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29</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全国大学青年教师地质课程教学比赛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中国地质学会、教育部高等学校地质学专业教学指导委员会、教育部高等学校地质类专业教学指导委员会、中国地质学会地质教育研究分</w:t>
            </w:r>
            <w:r>
              <w:rPr>
                <w:rFonts w:ascii="仿宋" w:eastAsia="仿宋" w:hAnsi="仿宋" w:hint="eastAsia"/>
                <w:color w:val="000000" w:themeColor="text1"/>
                <w:sz w:val="24"/>
                <w:szCs w:val="24"/>
              </w:rPr>
              <w:lastRenderedPageBreak/>
              <w:t>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30</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水利类专业青年教师讲课比赛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中国水利教育协会和教育部高等学校水利类专业教学指导委员会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31</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全国高校城市地下空间工程专业青年教师讲课大赛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中国岩石力学与工程学会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32</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全国医学影像专业青年教师教学基本功竞赛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中国高等教育学会医学教育专业委员会全国卫生职业教育教学指导委员会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33</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“中医药社杯”全国高等中医药院校教师教学基本功竞赛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教育部高等学校中医学类专业教学指导委员会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34</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全国高等学校中药学类专业青年教师教学设计大赛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教育部高等学校中药学类专业教学指导委员会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35</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全国高等学校药学类青年教师教学能力大赛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教育部高等学校药学类教学指导委员会和中国药学会药学教育专业委员会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36</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全国高等学校自制实验教学仪器设备评选活动</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中国高等教育学会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37</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西浦全国大学教学创新大赛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西交利物浦大学</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38</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全国高校混合式教学设计创新大赛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上海交通大学</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39</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全国医学(医药)院校青年教师教学基本功比赛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中华医学会医学教育分会和中国高等教育学会医学教育专业委员会联合举办</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40</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全国基础医学青年教师讲课大赛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中国高等教育学会医学教育专业委员会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41</w:t>
            </w:r>
          </w:p>
        </w:tc>
        <w:tc>
          <w:tcPr>
            <w:tcW w:w="5079"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全国《麻醉学》独立开课讲课比赛</w:t>
            </w:r>
          </w:p>
        </w:tc>
        <w:tc>
          <w:tcPr>
            <w:tcW w:w="3820"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中国高等教育学会医学教育专业委员会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全国性III类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2</w:t>
            </w:r>
          </w:p>
        </w:tc>
        <w:tc>
          <w:tcPr>
            <w:tcW w:w="5079" w:type="dxa"/>
            <w:tcBorders>
              <w:top w:val="nil"/>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江苏省本科高校青年教师教学竞赛</w:t>
            </w:r>
          </w:p>
        </w:tc>
        <w:tc>
          <w:tcPr>
            <w:tcW w:w="3820" w:type="dxa"/>
            <w:tcBorders>
              <w:top w:val="nil"/>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江苏省教育科技工会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省际区域级I类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3</w:t>
            </w:r>
          </w:p>
        </w:tc>
        <w:tc>
          <w:tcPr>
            <w:tcW w:w="5079" w:type="dxa"/>
            <w:tcBorders>
              <w:top w:val="nil"/>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长三角师范院校教师智慧教学大赛</w:t>
            </w:r>
          </w:p>
        </w:tc>
        <w:tc>
          <w:tcPr>
            <w:tcW w:w="3820" w:type="dxa"/>
            <w:tcBorders>
              <w:top w:val="nil"/>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bCs/>
                <w:color w:val="000000" w:themeColor="text1"/>
                <w:sz w:val="24"/>
                <w:szCs w:val="24"/>
              </w:rPr>
              <w:t>安徽省教育厅、上海市教育委员会、浙江省教育厅、江苏省教育厅</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省际区域级I类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4</w:t>
            </w:r>
          </w:p>
        </w:tc>
        <w:tc>
          <w:tcPr>
            <w:tcW w:w="5079" w:type="dxa"/>
            <w:tcBorders>
              <w:top w:val="nil"/>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江苏省高校微课教学比赛</w:t>
            </w:r>
          </w:p>
        </w:tc>
        <w:tc>
          <w:tcPr>
            <w:tcW w:w="3820" w:type="dxa"/>
            <w:tcBorders>
              <w:top w:val="nil"/>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江苏省教育厅</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5</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江苏省本科院校青年体育教师微课比赛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江苏省教育厅</w:t>
            </w:r>
          </w:p>
        </w:tc>
        <w:tc>
          <w:tcPr>
            <w:tcW w:w="992"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6</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江苏省领航杯信息化教学能手大赛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江苏省教育厅</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w:t>
            </w:r>
            <w:r>
              <w:rPr>
                <w:rFonts w:ascii="仿宋" w:eastAsia="仿宋" w:hAnsi="仿宋" w:hint="eastAsia"/>
                <w:color w:val="000000" w:themeColor="text1"/>
                <w:sz w:val="24"/>
                <w:szCs w:val="24"/>
              </w:rPr>
              <w:lastRenderedPageBreak/>
              <w:t>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4</w:t>
            </w:r>
            <w:r>
              <w:rPr>
                <w:rFonts w:ascii="仿宋" w:eastAsia="仿宋" w:hAnsi="仿宋"/>
                <w:color w:val="000000" w:themeColor="text1"/>
                <w:sz w:val="24"/>
                <w:szCs w:val="24"/>
              </w:rPr>
              <w:t>7</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江苏省普通高等学校体育教师教学技能竞赛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江苏省教育厅</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8</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江苏省高校数学微课教学比赛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江苏省教育厅</w:t>
            </w:r>
          </w:p>
        </w:tc>
        <w:tc>
          <w:tcPr>
            <w:tcW w:w="992"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9</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江苏高校辅导员素质能力大赛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江苏省教育厅</w:t>
            </w:r>
          </w:p>
        </w:tc>
        <w:tc>
          <w:tcPr>
            <w:tcW w:w="992"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color w:val="000000" w:themeColor="text1"/>
                <w:sz w:val="24"/>
                <w:szCs w:val="24"/>
              </w:rPr>
              <w:t>50</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bookmarkStart w:id="1" w:name="_Hlk5113749"/>
            <w:r>
              <w:rPr>
                <w:rFonts w:ascii="仿宋" w:eastAsia="仿宋" w:hAnsi="仿宋" w:hint="eastAsia"/>
                <w:color w:val="000000" w:themeColor="text1"/>
                <w:sz w:val="24"/>
                <w:szCs w:val="24"/>
              </w:rPr>
              <w:t>江苏省高校就业创业指导教师教学技能</w:t>
            </w:r>
            <w:bookmarkEnd w:id="1"/>
            <w:r>
              <w:rPr>
                <w:rFonts w:ascii="仿宋" w:eastAsia="仿宋" w:hAnsi="仿宋" w:hint="eastAsia"/>
                <w:color w:val="000000" w:themeColor="text1"/>
                <w:sz w:val="24"/>
                <w:szCs w:val="24"/>
              </w:rPr>
              <w:t>大赛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江苏省教育厅</w:t>
            </w:r>
          </w:p>
        </w:tc>
        <w:tc>
          <w:tcPr>
            <w:tcW w:w="992"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1</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长三角师范院校教师智慧教学大赛江苏赛区</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江苏省教育厅</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2</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江苏省高校基础物理教师上好一堂课竞赛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江苏省教育厅、江苏省物理学会</w:t>
            </w:r>
          </w:p>
        </w:tc>
        <w:tc>
          <w:tcPr>
            <w:tcW w:w="992"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3</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江苏省高校基础物理实验教师上好一堂课竞赛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江苏省教育厅、江苏省物理学会和江苏省高校基础物理教师上好一堂课竞赛组委会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4</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江苏省先进制造技术（智能制造）创新制作与实习教学竞赛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江苏省教育厅、江苏省工科院校先进制造技术实习教学和创新制作比赛组织委员会</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color w:val="000000" w:themeColor="text1"/>
                <w:sz w:val="24"/>
                <w:szCs w:val="24"/>
              </w:rPr>
              <w:t>55</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全国工程材料与机械制造基础/工程训练 青年教师微课比赛  </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教育部工科基础课程教学指导委员会、教育部机械基础课程教学指导分委员会、教育部工程训练教学指导委员会</w:t>
            </w:r>
          </w:p>
        </w:tc>
        <w:tc>
          <w:tcPr>
            <w:tcW w:w="992"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6</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“人卫杯”全国高等学校卫生检验与检疫专业青年教师教学授课竞赛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教育部高等学校医学技术类专业教学指导委员会、人民卫生出版社</w:t>
            </w:r>
          </w:p>
        </w:tc>
        <w:tc>
          <w:tcPr>
            <w:tcW w:w="992"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7</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全国医学检验技术专业教师虚拟仿真实验教学项目设计大赛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高等教育国家级实验教学示范中心联席会、全国高等学校医学检验专业联盟、全国高等医学教育医学检验专业校际协作会、虚拟仿真实验教学创新联盟、教育部高等学校医学技术教学指导委员会、南方医科大学</w:t>
            </w:r>
          </w:p>
        </w:tc>
        <w:tc>
          <w:tcPr>
            <w:tcW w:w="992"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省际区域级II类</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color w:val="000000" w:themeColor="text1"/>
                <w:sz w:val="24"/>
                <w:szCs w:val="24"/>
              </w:rPr>
              <w:t>58</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南通大中专院校教师技能大赛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color w:val="000000" w:themeColor="text1"/>
                <w:sz w:val="24"/>
                <w:szCs w:val="24"/>
              </w:rPr>
              <w:t>南通市教育工会</w:t>
            </w:r>
          </w:p>
        </w:tc>
        <w:tc>
          <w:tcPr>
            <w:tcW w:w="992"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市域性</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color w:val="000000" w:themeColor="text1"/>
                <w:sz w:val="24"/>
                <w:szCs w:val="24"/>
              </w:rPr>
              <w:t>59</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南通大学青年教师讲课竞赛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南通大学教务处（教学质量管理处）、人事处(教师发展中心)、工</w:t>
            </w:r>
            <w:r>
              <w:rPr>
                <w:rFonts w:ascii="Calibri" w:eastAsia="仿宋" w:hAnsi="Calibri" w:cs="Calibri"/>
                <w:color w:val="000000" w:themeColor="text1"/>
                <w:sz w:val="24"/>
                <w:szCs w:val="24"/>
              </w:rPr>
              <w:t> </w:t>
            </w:r>
            <w:r>
              <w:rPr>
                <w:rFonts w:ascii="仿宋" w:eastAsia="仿宋" w:hAnsi="仿宋" w:hint="eastAsia"/>
                <w:color w:val="000000" w:themeColor="text1"/>
                <w:sz w:val="24"/>
                <w:szCs w:val="24"/>
              </w:rPr>
              <w:t>会</w:t>
            </w:r>
          </w:p>
        </w:tc>
        <w:tc>
          <w:tcPr>
            <w:tcW w:w="992"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校级</w:t>
            </w:r>
          </w:p>
        </w:tc>
      </w:tr>
      <w:tr w:rsidR="0016514C" w:rsidTr="00D06D19">
        <w:trPr>
          <w:trHeight w:val="585"/>
          <w:jc w:val="center"/>
        </w:trPr>
        <w:tc>
          <w:tcPr>
            <w:tcW w:w="457" w:type="dxa"/>
            <w:vAlign w:val="center"/>
          </w:tcPr>
          <w:p w:rsidR="0016514C" w:rsidRDefault="0016514C" w:rsidP="00D06D19">
            <w:pPr>
              <w:pStyle w:val="a6"/>
              <w:jc w:val="center"/>
              <w:rPr>
                <w:rFonts w:ascii="仿宋" w:eastAsia="仿宋" w:hAnsi="仿宋"/>
                <w:color w:val="000000" w:themeColor="text1"/>
                <w:sz w:val="24"/>
                <w:szCs w:val="24"/>
              </w:rPr>
            </w:pPr>
            <w:r>
              <w:rPr>
                <w:rFonts w:ascii="仿宋" w:eastAsia="仿宋" w:hAnsi="仿宋"/>
                <w:color w:val="000000" w:themeColor="text1"/>
                <w:sz w:val="24"/>
                <w:szCs w:val="24"/>
              </w:rPr>
              <w:lastRenderedPageBreak/>
              <w:t>60</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南通大学微课教学比赛</w:t>
            </w:r>
          </w:p>
        </w:tc>
        <w:tc>
          <w:tcPr>
            <w:tcW w:w="3820" w:type="dxa"/>
            <w:tcBorders>
              <w:top w:val="single" w:sz="4" w:space="0" w:color="auto"/>
              <w:left w:val="nil"/>
              <w:bottom w:val="single" w:sz="4" w:space="0" w:color="auto"/>
              <w:right w:val="single" w:sz="4" w:space="0" w:color="auto"/>
            </w:tcBorders>
            <w:shd w:val="clear" w:color="auto" w:fill="auto"/>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南通大学教务处（教学质量管理处）</w:t>
            </w:r>
          </w:p>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、教师发展中心、现代教育技术中心</w:t>
            </w:r>
          </w:p>
        </w:tc>
        <w:tc>
          <w:tcPr>
            <w:tcW w:w="992" w:type="dxa"/>
            <w:vAlign w:val="center"/>
          </w:tcPr>
          <w:p w:rsidR="0016514C" w:rsidRDefault="0016514C" w:rsidP="00D06D19">
            <w:pPr>
              <w:pStyle w:val="a6"/>
              <w:rPr>
                <w:rFonts w:ascii="仿宋" w:eastAsia="仿宋" w:hAnsi="仿宋"/>
                <w:color w:val="000000" w:themeColor="text1"/>
                <w:sz w:val="24"/>
                <w:szCs w:val="24"/>
              </w:rPr>
            </w:pPr>
            <w:r>
              <w:rPr>
                <w:rFonts w:ascii="仿宋" w:eastAsia="仿宋" w:hAnsi="仿宋" w:hint="eastAsia"/>
                <w:color w:val="000000" w:themeColor="text1"/>
                <w:sz w:val="24"/>
                <w:szCs w:val="24"/>
              </w:rPr>
              <w:t>校级</w:t>
            </w:r>
          </w:p>
        </w:tc>
      </w:tr>
    </w:tbl>
    <w:p w:rsidR="0016514C" w:rsidRDefault="0016514C" w:rsidP="0016514C">
      <w:pPr>
        <w:autoSpaceDE w:val="0"/>
        <w:adjustRightInd w:val="0"/>
        <w:snapToGrid w:val="0"/>
        <w:spacing w:line="360" w:lineRule="auto"/>
        <w:rPr>
          <w:rFonts w:ascii="仿宋_GB2312" w:eastAsia="仿宋_GB2312"/>
          <w:b/>
          <w:bCs/>
          <w:color w:val="000000" w:themeColor="text1"/>
          <w:sz w:val="28"/>
          <w:szCs w:val="28"/>
        </w:rPr>
      </w:pPr>
    </w:p>
    <w:p w:rsidR="0016514C" w:rsidRDefault="0016514C" w:rsidP="0016514C">
      <w:pPr>
        <w:autoSpaceDE w:val="0"/>
        <w:adjustRightInd w:val="0"/>
        <w:snapToGrid w:val="0"/>
        <w:spacing w:line="360" w:lineRule="auto"/>
        <w:rPr>
          <w:rFonts w:ascii="仿宋_GB2312" w:eastAsia="仿宋_GB2312"/>
          <w:color w:val="000000" w:themeColor="text1"/>
          <w:sz w:val="24"/>
          <w:szCs w:val="24"/>
        </w:rPr>
      </w:pPr>
    </w:p>
    <w:p w:rsidR="007B2FD2" w:rsidRDefault="007B2FD2"/>
    <w:sectPr w:rsidR="007B2FD2" w:rsidSect="00674CA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DFE" w:rsidRDefault="00832DFE" w:rsidP="0016514C">
      <w:r>
        <w:separator/>
      </w:r>
    </w:p>
  </w:endnote>
  <w:endnote w:type="continuationSeparator" w:id="0">
    <w:p w:rsidR="00832DFE" w:rsidRDefault="00832DFE" w:rsidP="001651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970317"/>
      <w:docPartObj>
        <w:docPartGallery w:val="Page Numbers (Bottom of Page)"/>
        <w:docPartUnique/>
      </w:docPartObj>
    </w:sdtPr>
    <w:sdtEndPr>
      <w:rPr>
        <w:sz w:val="24"/>
        <w:szCs w:val="24"/>
      </w:rPr>
    </w:sdtEndPr>
    <w:sdtContent>
      <w:p w:rsidR="004F3E9C" w:rsidRPr="004F3E9C" w:rsidRDefault="00674CAB">
        <w:pPr>
          <w:pStyle w:val="a4"/>
          <w:jc w:val="center"/>
          <w:rPr>
            <w:sz w:val="24"/>
            <w:szCs w:val="24"/>
          </w:rPr>
        </w:pPr>
        <w:r w:rsidRPr="004F3E9C">
          <w:rPr>
            <w:sz w:val="28"/>
            <w:szCs w:val="28"/>
          </w:rPr>
          <w:fldChar w:fldCharType="begin"/>
        </w:r>
        <w:r w:rsidR="005659EA" w:rsidRPr="004F3E9C">
          <w:rPr>
            <w:sz w:val="28"/>
            <w:szCs w:val="28"/>
          </w:rPr>
          <w:instrText>PAGE   \* MERGEFORMAT</w:instrText>
        </w:r>
        <w:r w:rsidRPr="004F3E9C">
          <w:rPr>
            <w:sz w:val="28"/>
            <w:szCs w:val="28"/>
          </w:rPr>
          <w:fldChar w:fldCharType="separate"/>
        </w:r>
        <w:r w:rsidR="00B21150" w:rsidRPr="00B21150">
          <w:rPr>
            <w:noProof/>
            <w:sz w:val="28"/>
            <w:szCs w:val="28"/>
            <w:lang w:val="zh-CN"/>
          </w:rPr>
          <w:t>3</w:t>
        </w:r>
        <w:r w:rsidRPr="004F3E9C">
          <w:rPr>
            <w:sz w:val="28"/>
            <w:szCs w:val="28"/>
          </w:rPr>
          <w:fldChar w:fldCharType="end"/>
        </w:r>
      </w:p>
    </w:sdtContent>
  </w:sdt>
  <w:p w:rsidR="004F3E9C" w:rsidRDefault="00832D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DFE" w:rsidRDefault="00832DFE" w:rsidP="0016514C">
      <w:r>
        <w:separator/>
      </w:r>
    </w:p>
  </w:footnote>
  <w:footnote w:type="continuationSeparator" w:id="0">
    <w:p w:rsidR="00832DFE" w:rsidRDefault="00832DFE" w:rsidP="001651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C7C"/>
    <w:rsid w:val="0016514C"/>
    <w:rsid w:val="00417C7C"/>
    <w:rsid w:val="00553CC7"/>
    <w:rsid w:val="005659EA"/>
    <w:rsid w:val="00674CAB"/>
    <w:rsid w:val="007B2FD2"/>
    <w:rsid w:val="00832DFE"/>
    <w:rsid w:val="00B21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514C"/>
    <w:rPr>
      <w:sz w:val="18"/>
      <w:szCs w:val="18"/>
    </w:rPr>
  </w:style>
  <w:style w:type="paragraph" w:styleId="a4">
    <w:name w:val="footer"/>
    <w:basedOn w:val="a"/>
    <w:link w:val="Char0"/>
    <w:uiPriority w:val="99"/>
    <w:unhideWhenUsed/>
    <w:qFormat/>
    <w:rsid w:val="0016514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6514C"/>
    <w:rPr>
      <w:sz w:val="18"/>
      <w:szCs w:val="18"/>
    </w:rPr>
  </w:style>
  <w:style w:type="table" w:styleId="a5">
    <w:name w:val="Table Grid"/>
    <w:basedOn w:val="a1"/>
    <w:uiPriority w:val="39"/>
    <w:qFormat/>
    <w:rsid w:val="0016514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6514C"/>
    <w:pPr>
      <w:widowControl w:val="0"/>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康玉红</dc:creator>
  <cp:keywords/>
  <dc:description/>
  <cp:lastModifiedBy>刘泓泉</cp:lastModifiedBy>
  <cp:revision>4</cp:revision>
  <dcterms:created xsi:type="dcterms:W3CDTF">2020-09-09T09:18:00Z</dcterms:created>
  <dcterms:modified xsi:type="dcterms:W3CDTF">2020-09-12T15:06:00Z</dcterms:modified>
</cp:coreProperties>
</file>