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cs="Tahoma" w:asciiTheme="minorEastAsia" w:hAnsiTheme="minorEastAsia" w:eastAsiaTheme="minor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Tahoma"/>
          <w:b/>
          <w:kern w:val="0"/>
          <w:sz w:val="30"/>
          <w:szCs w:val="30"/>
        </w:rPr>
        <w:t>关于开展</w:t>
      </w:r>
      <w:r>
        <w:rPr>
          <w:rFonts w:hint="eastAsia" w:cs="Tahoma" w:asciiTheme="minorEastAsia" w:hAnsiTheme="minorEastAsia" w:eastAsiaTheme="minorEastAsia"/>
          <w:b/>
          <w:kern w:val="0"/>
          <w:sz w:val="30"/>
          <w:szCs w:val="30"/>
        </w:rPr>
        <w:t>202</w:t>
      </w:r>
      <w:r>
        <w:rPr>
          <w:rFonts w:cs="Tahoma" w:asciiTheme="minorEastAsia" w:hAnsiTheme="minorEastAsia" w:eastAsiaTheme="minorEastAsia"/>
          <w:b/>
          <w:kern w:val="0"/>
          <w:sz w:val="30"/>
          <w:szCs w:val="30"/>
        </w:rPr>
        <w:t>3</w:t>
      </w:r>
      <w:r>
        <w:rPr>
          <w:rFonts w:hint="eastAsia" w:cs="Tahoma" w:asciiTheme="minorEastAsia" w:hAnsiTheme="minorEastAsia" w:eastAsiaTheme="minorEastAsia"/>
          <w:b/>
          <w:kern w:val="0"/>
          <w:sz w:val="30"/>
          <w:szCs w:val="30"/>
        </w:rPr>
        <w:t>-202</w:t>
      </w:r>
      <w:r>
        <w:rPr>
          <w:rFonts w:cs="Tahoma" w:asciiTheme="minorEastAsia" w:hAnsiTheme="minorEastAsia" w:eastAsiaTheme="minorEastAsia"/>
          <w:b/>
          <w:kern w:val="0"/>
          <w:sz w:val="30"/>
          <w:szCs w:val="30"/>
        </w:rPr>
        <w:t>4</w:t>
      </w:r>
      <w:r>
        <w:rPr>
          <w:rFonts w:hint="eastAsia" w:cs="Tahoma" w:asciiTheme="minorEastAsia" w:hAnsiTheme="minorEastAsia" w:eastAsiaTheme="minorEastAsia"/>
          <w:b/>
          <w:kern w:val="0"/>
          <w:sz w:val="30"/>
          <w:szCs w:val="30"/>
        </w:rPr>
        <w:t>学年第二学期</w:t>
      </w:r>
      <w:r>
        <w:rPr>
          <w:rFonts w:cs="Tahoma" w:asciiTheme="minorEastAsia" w:hAnsiTheme="minorEastAsia" w:eastAsiaTheme="minorEastAsia"/>
          <w:b/>
          <w:kern w:val="0"/>
          <w:sz w:val="30"/>
          <w:szCs w:val="30"/>
        </w:rPr>
        <w:t>期初教学</w:t>
      </w:r>
      <w:r>
        <w:rPr>
          <w:rFonts w:ascii="宋体" w:hAnsi="宋体" w:cs="Tahoma"/>
          <w:b/>
          <w:kern w:val="0"/>
          <w:sz w:val="30"/>
          <w:szCs w:val="30"/>
        </w:rPr>
        <w:t>检查工作的通知</w:t>
      </w:r>
    </w:p>
    <w:p>
      <w:pPr>
        <w:widowControl/>
        <w:spacing w:line="460" w:lineRule="auto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cs="Tahoma" w:asciiTheme="minorEastAsia" w:hAnsiTheme="minorEastAsia" w:eastAsiaTheme="minorEastAsia"/>
          <w:kern w:val="0"/>
          <w:sz w:val="24"/>
        </w:rPr>
        <w:t>各学院（系）及相关部门：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为进一步规范本科教学管理，不断提升学校教学质量，高质量推进本科教育教学审核评估工作，根据《南通大学教学检查工作实施细则》的规定和具体要求，现将本学期期初教学检查工作相关事项通知如下：</w:t>
      </w:r>
    </w:p>
    <w:p>
      <w:pPr>
        <w:widowControl/>
        <w:spacing w:line="460" w:lineRule="auto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一、检查时间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2</w:t>
      </w:r>
      <w:r>
        <w:rPr>
          <w:rFonts w:cs="Tahoma" w:asciiTheme="minorEastAsia" w:hAnsiTheme="minorEastAsia" w:eastAsiaTheme="minorEastAsia"/>
          <w:kern w:val="0"/>
          <w:sz w:val="24"/>
        </w:rPr>
        <w:t>024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年</w:t>
      </w:r>
      <w:r>
        <w:rPr>
          <w:rFonts w:cs="Tahoma" w:asciiTheme="minorEastAsia" w:hAnsiTheme="minorEastAsia" w:eastAsiaTheme="minorEastAsia"/>
          <w:kern w:val="0"/>
          <w:sz w:val="24"/>
        </w:rPr>
        <w:t>2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月</w:t>
      </w:r>
      <w:r>
        <w:rPr>
          <w:rFonts w:cs="Tahoma" w:asciiTheme="minorEastAsia" w:hAnsiTheme="minorEastAsia" w:eastAsiaTheme="minorEastAsia"/>
          <w:kern w:val="0"/>
          <w:sz w:val="24"/>
        </w:rPr>
        <w:t>26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日-</w:t>
      </w:r>
      <w:r>
        <w:rPr>
          <w:rFonts w:cs="Tahoma" w:asciiTheme="minorEastAsia" w:hAnsiTheme="minorEastAsia" w:eastAsiaTheme="minorEastAsia"/>
          <w:kern w:val="0"/>
          <w:sz w:val="24"/>
        </w:rPr>
        <w:t>3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月</w:t>
      </w:r>
      <w:r>
        <w:rPr>
          <w:rFonts w:cs="Tahoma" w:asciiTheme="minorEastAsia" w:hAnsiTheme="minorEastAsia" w:eastAsiaTheme="minorEastAsia"/>
          <w:kern w:val="0"/>
          <w:sz w:val="24"/>
        </w:rPr>
        <w:t>15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日（第1</w:t>
      </w:r>
      <w:r>
        <w:rPr>
          <w:rFonts w:cs="Tahoma" w:asciiTheme="minorEastAsia" w:hAnsiTheme="minorEastAsia" w:eastAsiaTheme="minorEastAsia"/>
          <w:kern w:val="0"/>
          <w:sz w:val="24"/>
        </w:rPr>
        <w:t>-3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周）。</w:t>
      </w:r>
    </w:p>
    <w:p>
      <w:pPr>
        <w:widowControl/>
        <w:spacing w:line="460" w:lineRule="auto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二、检查方式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采取学院自查和学校抽查相结合的方式进行，以学院自查为主，学校抽查为辅。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（一）学院自查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各学院（系）、部门按照通知要求，认真落实期初教学检查工作，加强统筹协调，成立教学质量检查工作小组，对期初教学运行准备情况及课程教学质量进行全面检查和指导，确保新学期教学工作的顺利开展。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（二）学校抽查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学校对学院（系）、部门提交的检查材料进行核查，重点检查教师的教学准备和完成情况，并通过听课、巡课、走访调研、抽查材料等方式对期初教学检查的各项内容进行抽查，及时发现教学过程中出现的问题，切实保障教学质量和教学效果。</w:t>
      </w:r>
    </w:p>
    <w:p>
      <w:pPr>
        <w:widowControl/>
        <w:spacing w:line="460" w:lineRule="auto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三、检查内容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（一）教学准备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检查本学期教学任务（任课教师、各实践教学环节、缓补考与重新学习等）的落实情况；教学条件（教室、实验室</w:t>
      </w:r>
      <w:r>
        <w:rPr>
          <w:rFonts w:cs="Tahoma" w:asciiTheme="minorEastAsia" w:hAnsiTheme="minorEastAsia" w:eastAsiaTheme="minorEastAsia"/>
          <w:kern w:val="0"/>
          <w:sz w:val="24"/>
        </w:rPr>
        <w:t>、实验仪器、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教材、</w:t>
      </w:r>
      <w:r>
        <w:rPr>
          <w:rFonts w:cs="Tahoma" w:asciiTheme="minorEastAsia" w:hAnsiTheme="minorEastAsia" w:eastAsiaTheme="minorEastAsia"/>
          <w:kern w:val="0"/>
          <w:sz w:val="24"/>
        </w:rPr>
        <w:t>运动器材及其它教学设施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、材料等）的准备情况；教师教学基本文件（教学大纲、授课计划、教案、课件等）的编制情况；基层教学组织教研活动（集体讨论、备课、研究，学习教学管理规章制度，新教师教学观摩、说课、听课等）的开展情况等。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（二）课堂教学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检查教师授课到岗及调停课情况；学生出勤情况、学习状态；课堂整体运行情况等。重点检查新开课和开新课教师的授课情况和教学效果等。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（三）教学档案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结合审核评估工作要求，对照本科教育教学审核评估学院任务清单（第一批），检查、整理各类教学档案，确保其规范性和完整性。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（四）质量保障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检查上一学期期末教学检查存在问题的整改情况。有效利用各类质量监控手段，实现“问题能发现、后续有措施、结果有成效”的教学质量闭环管理，形成自觉、自省、自律、自查、自纠的质量文化，促进教学质量的持续改进。</w:t>
      </w:r>
    </w:p>
    <w:p>
      <w:pPr>
        <w:widowControl/>
        <w:spacing w:line="460" w:lineRule="auto"/>
        <w:ind w:firstLine="482" w:firstLineChars="200"/>
        <w:rPr>
          <w:rFonts w:cs="Tahoma" w:asciiTheme="minorEastAsia" w:hAnsiTheme="minorEastAsia" w:eastAsiaTheme="minorEastAsia"/>
          <w:b/>
          <w:kern w:val="0"/>
          <w:sz w:val="24"/>
        </w:rPr>
      </w:pPr>
      <w:r>
        <w:rPr>
          <w:rFonts w:hint="eastAsia" w:cs="Tahoma" w:asciiTheme="minorEastAsia" w:hAnsiTheme="minorEastAsia" w:eastAsiaTheme="minorEastAsia"/>
          <w:b/>
          <w:kern w:val="0"/>
          <w:sz w:val="24"/>
        </w:rPr>
        <w:t>四、工作要求</w:t>
      </w:r>
    </w:p>
    <w:p>
      <w:pPr>
        <w:widowControl/>
        <w:spacing w:line="460" w:lineRule="auto"/>
        <w:ind w:firstLine="480" w:firstLineChars="2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>各学院（系）、部门要坚持“学生中心、产出导向、持续改进”的理念，认真组织期初教学检查工作，充分认识教学质量保障的重要性，以审核评估为契机，推动本科教育教学质量和水平再上新台阶。请各学院（系）、部门</w:t>
      </w:r>
      <w:r>
        <w:rPr>
          <w:rFonts w:cs="Tahoma" w:asciiTheme="minorEastAsia" w:hAnsiTheme="minorEastAsia" w:eastAsiaTheme="minorEastAsia"/>
          <w:kern w:val="0"/>
          <w:sz w:val="24"/>
        </w:rPr>
        <w:t>对学期初教学检查情况做出书面总结，签字盖章后于3月20日前交至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教学质量管理处</w:t>
      </w:r>
      <w:r>
        <w:rPr>
          <w:rFonts w:cs="Tahoma" w:asciiTheme="minorEastAsia" w:hAnsiTheme="minorEastAsia" w:eastAsiaTheme="minorEastAsia"/>
          <w:kern w:val="0"/>
          <w:sz w:val="24"/>
        </w:rPr>
        <w:t>（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逸夫楼6号楼119室</w:t>
      </w:r>
      <w:r>
        <w:rPr>
          <w:rFonts w:cs="Tahoma" w:asciiTheme="minorEastAsia" w:hAnsiTheme="minorEastAsia" w:eastAsiaTheme="minorEastAsia"/>
          <w:kern w:val="0"/>
          <w:sz w:val="24"/>
        </w:rPr>
        <w:t>），</w:t>
      </w:r>
      <w:r>
        <w:rPr>
          <w:rFonts w:asciiTheme="minorEastAsia" w:hAnsiTheme="minorEastAsia" w:eastAsiaTheme="minorEastAsia"/>
          <w:sz w:val="24"/>
        </w:rPr>
        <w:t>同时发送电子版材料至</w:t>
      </w:r>
      <w:r>
        <w:rPr>
          <w:rFonts w:hint="eastAsia" w:asciiTheme="minorEastAsia" w:hAnsiTheme="minorEastAsia" w:eastAsiaTheme="minorEastAsia"/>
          <w:sz w:val="24"/>
        </w:rPr>
        <w:t>zlglc</w:t>
      </w:r>
      <w:r>
        <w:rPr>
          <w:rFonts w:asciiTheme="minorEastAsia" w:hAnsiTheme="minorEastAsia" w:eastAsiaTheme="minorEastAsia"/>
          <w:sz w:val="24"/>
        </w:rPr>
        <w:t>@ntu.edu.cn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。</w:t>
      </w:r>
    </w:p>
    <w:p>
      <w:pPr>
        <w:widowControl/>
        <w:spacing w:line="460" w:lineRule="auto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460" w:lineRule="auto"/>
        <w:rPr>
          <w:rFonts w:cs="Tahoma" w:asciiTheme="minorEastAsia" w:hAnsiTheme="minorEastAsia" w:eastAsiaTheme="minorEastAsia"/>
          <w:kern w:val="0"/>
          <w:sz w:val="24"/>
        </w:rPr>
      </w:pPr>
    </w:p>
    <w:p>
      <w:pPr>
        <w:widowControl/>
        <w:spacing w:line="460" w:lineRule="auto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hint="eastAsia" w:cs="Tahoma" w:asciiTheme="minorEastAsia" w:hAnsiTheme="minorEastAsia" w:eastAsiaTheme="minorEastAsia"/>
          <w:kern w:val="0"/>
          <w:sz w:val="24"/>
        </w:rPr>
        <w:t xml:space="preserve"> </w:t>
      </w:r>
      <w:r>
        <w:rPr>
          <w:rFonts w:cs="Tahoma" w:asciiTheme="minorEastAsia" w:hAnsiTheme="minorEastAsia" w:eastAsiaTheme="minorEastAsia"/>
          <w:kern w:val="0"/>
          <w:sz w:val="24"/>
        </w:rPr>
        <w:t xml:space="preserve">                                     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教学质量管理处</w:t>
      </w:r>
    </w:p>
    <w:p>
      <w:pPr>
        <w:widowControl/>
        <w:spacing w:line="460" w:lineRule="auto"/>
        <w:ind w:firstLine="4560" w:firstLineChars="1900"/>
        <w:rPr>
          <w:rFonts w:cs="Tahoma" w:asciiTheme="minorEastAsia" w:hAnsiTheme="minorEastAsia" w:eastAsiaTheme="minorEastAsia"/>
          <w:kern w:val="0"/>
          <w:sz w:val="24"/>
        </w:rPr>
      </w:pPr>
      <w:r>
        <w:rPr>
          <w:rFonts w:cs="Tahoma" w:asciiTheme="minorEastAsia" w:hAnsiTheme="minorEastAsia" w:eastAsiaTheme="minorEastAsia"/>
          <w:kern w:val="0"/>
          <w:sz w:val="24"/>
        </w:rPr>
        <w:t>2024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年</w:t>
      </w:r>
      <w:r>
        <w:rPr>
          <w:rFonts w:cs="Tahoma" w:asciiTheme="minorEastAsia" w:hAnsiTheme="minorEastAsia" w:eastAsiaTheme="minorEastAsia"/>
          <w:kern w:val="0"/>
          <w:sz w:val="24"/>
        </w:rPr>
        <w:t>2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月</w:t>
      </w:r>
      <w:r>
        <w:rPr>
          <w:rFonts w:cs="Tahoma" w:asciiTheme="minorEastAsia" w:hAnsiTheme="minorEastAsia" w:eastAsiaTheme="minorEastAsia"/>
          <w:kern w:val="0"/>
          <w:sz w:val="24"/>
        </w:rPr>
        <w:t>23</w:t>
      </w:r>
      <w:r>
        <w:rPr>
          <w:rFonts w:hint="eastAsia" w:cs="Tahoma" w:asciiTheme="minorEastAsia" w:hAnsiTheme="minorEastAsia" w:eastAsiaTheme="minorEastAsia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9"/>
    <w:rsid w:val="000234DB"/>
    <w:rsid w:val="00032F85"/>
    <w:rsid w:val="000754BB"/>
    <w:rsid w:val="00076C6B"/>
    <w:rsid w:val="00083CC8"/>
    <w:rsid w:val="000B06F8"/>
    <w:rsid w:val="000B37E1"/>
    <w:rsid w:val="001112BD"/>
    <w:rsid w:val="001168E5"/>
    <w:rsid w:val="00123FE0"/>
    <w:rsid w:val="001250BB"/>
    <w:rsid w:val="001447AA"/>
    <w:rsid w:val="00153318"/>
    <w:rsid w:val="00153EC0"/>
    <w:rsid w:val="00164215"/>
    <w:rsid w:val="00176BC2"/>
    <w:rsid w:val="0019062E"/>
    <w:rsid w:val="001A4057"/>
    <w:rsid w:val="001A67E5"/>
    <w:rsid w:val="001D3BB2"/>
    <w:rsid w:val="001F39E5"/>
    <w:rsid w:val="002310D8"/>
    <w:rsid w:val="002563CA"/>
    <w:rsid w:val="0026366E"/>
    <w:rsid w:val="002739F3"/>
    <w:rsid w:val="00286EF7"/>
    <w:rsid w:val="002A5C96"/>
    <w:rsid w:val="002F33A0"/>
    <w:rsid w:val="00313686"/>
    <w:rsid w:val="00341A58"/>
    <w:rsid w:val="00357D01"/>
    <w:rsid w:val="00367A45"/>
    <w:rsid w:val="00372070"/>
    <w:rsid w:val="0037784E"/>
    <w:rsid w:val="003809C9"/>
    <w:rsid w:val="003A5EE0"/>
    <w:rsid w:val="003B332F"/>
    <w:rsid w:val="003B7032"/>
    <w:rsid w:val="003C7178"/>
    <w:rsid w:val="003F7214"/>
    <w:rsid w:val="00414CC2"/>
    <w:rsid w:val="00433150"/>
    <w:rsid w:val="00444938"/>
    <w:rsid w:val="00482EF0"/>
    <w:rsid w:val="00487590"/>
    <w:rsid w:val="004875F2"/>
    <w:rsid w:val="004B0780"/>
    <w:rsid w:val="004E0B8F"/>
    <w:rsid w:val="004E687A"/>
    <w:rsid w:val="004F358A"/>
    <w:rsid w:val="00510F0F"/>
    <w:rsid w:val="0051741B"/>
    <w:rsid w:val="00595756"/>
    <w:rsid w:val="00595B28"/>
    <w:rsid w:val="005B260D"/>
    <w:rsid w:val="005B583D"/>
    <w:rsid w:val="005F45C2"/>
    <w:rsid w:val="006137D0"/>
    <w:rsid w:val="006312B8"/>
    <w:rsid w:val="006360AE"/>
    <w:rsid w:val="00646DAC"/>
    <w:rsid w:val="006514B6"/>
    <w:rsid w:val="00680259"/>
    <w:rsid w:val="006B0D1F"/>
    <w:rsid w:val="006B2550"/>
    <w:rsid w:val="006B36D1"/>
    <w:rsid w:val="006B6886"/>
    <w:rsid w:val="006C4F63"/>
    <w:rsid w:val="006C7926"/>
    <w:rsid w:val="006E2DED"/>
    <w:rsid w:val="006F6DE9"/>
    <w:rsid w:val="00700CA9"/>
    <w:rsid w:val="00714DAA"/>
    <w:rsid w:val="007162EA"/>
    <w:rsid w:val="007307F6"/>
    <w:rsid w:val="00733963"/>
    <w:rsid w:val="0074339D"/>
    <w:rsid w:val="00744A08"/>
    <w:rsid w:val="00744F89"/>
    <w:rsid w:val="0075060E"/>
    <w:rsid w:val="0076069C"/>
    <w:rsid w:val="00796CE4"/>
    <w:rsid w:val="007A323B"/>
    <w:rsid w:val="007B040A"/>
    <w:rsid w:val="007C4C2B"/>
    <w:rsid w:val="00826C3C"/>
    <w:rsid w:val="008271D5"/>
    <w:rsid w:val="008343DA"/>
    <w:rsid w:val="0084038F"/>
    <w:rsid w:val="00844FD9"/>
    <w:rsid w:val="008623C2"/>
    <w:rsid w:val="00896090"/>
    <w:rsid w:val="008E23B6"/>
    <w:rsid w:val="008F19E7"/>
    <w:rsid w:val="00933430"/>
    <w:rsid w:val="00936A59"/>
    <w:rsid w:val="009400B9"/>
    <w:rsid w:val="0095239C"/>
    <w:rsid w:val="00976063"/>
    <w:rsid w:val="009A2808"/>
    <w:rsid w:val="009A6203"/>
    <w:rsid w:val="009D3038"/>
    <w:rsid w:val="009D627A"/>
    <w:rsid w:val="009E383A"/>
    <w:rsid w:val="00A00BBC"/>
    <w:rsid w:val="00A12EB5"/>
    <w:rsid w:val="00A20A32"/>
    <w:rsid w:val="00A61FD1"/>
    <w:rsid w:val="00A81ECE"/>
    <w:rsid w:val="00A8498C"/>
    <w:rsid w:val="00AE49DF"/>
    <w:rsid w:val="00B60D3A"/>
    <w:rsid w:val="00B708F5"/>
    <w:rsid w:val="00B70E68"/>
    <w:rsid w:val="00B75F53"/>
    <w:rsid w:val="00B766EF"/>
    <w:rsid w:val="00B96071"/>
    <w:rsid w:val="00BA39E6"/>
    <w:rsid w:val="00BD4995"/>
    <w:rsid w:val="00C25B4F"/>
    <w:rsid w:val="00C51EAD"/>
    <w:rsid w:val="00C7271E"/>
    <w:rsid w:val="00C81EC8"/>
    <w:rsid w:val="00CB5249"/>
    <w:rsid w:val="00CB5B9D"/>
    <w:rsid w:val="00CB6970"/>
    <w:rsid w:val="00CC0A92"/>
    <w:rsid w:val="00CC1744"/>
    <w:rsid w:val="00CD2EF7"/>
    <w:rsid w:val="00CD64E6"/>
    <w:rsid w:val="00D13AD3"/>
    <w:rsid w:val="00D15FAF"/>
    <w:rsid w:val="00D16E30"/>
    <w:rsid w:val="00D77A82"/>
    <w:rsid w:val="00DA73B9"/>
    <w:rsid w:val="00DC0799"/>
    <w:rsid w:val="00DE7429"/>
    <w:rsid w:val="00E426E5"/>
    <w:rsid w:val="00E507FF"/>
    <w:rsid w:val="00E63C5E"/>
    <w:rsid w:val="00E933C3"/>
    <w:rsid w:val="00E975FD"/>
    <w:rsid w:val="00EA13A4"/>
    <w:rsid w:val="00EA77A0"/>
    <w:rsid w:val="00EB1817"/>
    <w:rsid w:val="00EB3CDE"/>
    <w:rsid w:val="00EB61E4"/>
    <w:rsid w:val="00EB7379"/>
    <w:rsid w:val="00ED6476"/>
    <w:rsid w:val="00ED6722"/>
    <w:rsid w:val="00F31FAE"/>
    <w:rsid w:val="00F42D59"/>
    <w:rsid w:val="00F55A3D"/>
    <w:rsid w:val="00F62E55"/>
    <w:rsid w:val="00F774F9"/>
    <w:rsid w:val="00F9692C"/>
    <w:rsid w:val="00FA2A9A"/>
    <w:rsid w:val="00FB26CB"/>
    <w:rsid w:val="00FB6279"/>
    <w:rsid w:val="00FC4C95"/>
    <w:rsid w:val="7A5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qFormat/>
    <w:uiPriority w:val="9"/>
    <w:pPr>
      <w:keepNext/>
      <w:keepLines/>
      <w:spacing w:line="360" w:lineRule="auto"/>
      <w:jc w:val="left"/>
      <w:outlineLvl w:val="1"/>
    </w:pPr>
    <w:rPr>
      <w:b/>
      <w:bCs/>
      <w:sz w:val="28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99"/>
    <w:rPr>
      <w:b/>
      <w:bCs/>
    </w:rPr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uiPriority w:val="0"/>
    <w:rPr>
      <w:color w:val="000000"/>
      <w:u w:val="none"/>
    </w:rPr>
  </w:style>
  <w:style w:type="character" w:customStyle="1" w:styleId="14">
    <w:name w:val="标题 1 字符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uiPriority w:val="9"/>
    <w:rPr>
      <w:b/>
      <w:bCs/>
      <w:kern w:val="2"/>
      <w:sz w:val="28"/>
      <w:szCs w:val="32"/>
    </w:rPr>
  </w:style>
  <w:style w:type="character" w:customStyle="1" w:styleId="16">
    <w:name w:val="标题 3 字符"/>
    <w:basedOn w:val="10"/>
    <w:link w:val="4"/>
    <w:semiHidden/>
    <w:uiPriority w:val="99"/>
    <w:rPr>
      <w:b/>
      <w:bCs/>
      <w:kern w:val="2"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article_title"/>
    <w:basedOn w:val="10"/>
    <w:uiPriority w:val="0"/>
  </w:style>
  <w:style w:type="character" w:customStyle="1" w:styleId="19">
    <w:name w:val="article_publishdate"/>
    <w:basedOn w:val="10"/>
    <w:uiPriority w:val="0"/>
  </w:style>
  <w:style w:type="character" w:customStyle="1" w:styleId="20">
    <w:name w:val="wp_visitcount"/>
    <w:basedOn w:val="10"/>
    <w:uiPriority w:val="0"/>
  </w:style>
  <w:style w:type="character" w:customStyle="1" w:styleId="21">
    <w:name w:val="页眉 字符"/>
    <w:basedOn w:val="10"/>
    <w:link w:val="7"/>
    <w:uiPriority w:val="99"/>
    <w:rPr>
      <w:kern w:val="2"/>
      <w:sz w:val="18"/>
      <w:szCs w:val="18"/>
    </w:rPr>
  </w:style>
  <w:style w:type="character" w:customStyle="1" w:styleId="22">
    <w:name w:val="页脚 字符"/>
    <w:basedOn w:val="10"/>
    <w:link w:val="6"/>
    <w:uiPriority w:val="99"/>
    <w:rPr>
      <w:kern w:val="2"/>
      <w:sz w:val="18"/>
      <w:szCs w:val="18"/>
    </w:rPr>
  </w:style>
  <w:style w:type="character" w:customStyle="1" w:styleId="23">
    <w:name w:val="批注框文本 字符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24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5">
    <w:name w:val="16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164</Words>
  <Characters>938</Characters>
  <Lines>7</Lines>
  <Paragraphs>2</Paragraphs>
  <TotalTime>1411</TotalTime>
  <ScaleCrop>false</ScaleCrop>
  <LinksUpToDate>false</LinksUpToDate>
  <CharactersWithSpaces>1100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2021-08-24T10:01:00Z</dcterms:created>
  <dc:creator>dreamsummit</dc:creator>
  <cp:lastModifiedBy>系统管理员</cp:lastModifiedBy>
  <cp:lastPrinted>2024-02-23T02:17:00Z</cp:lastPrinted>
  <dcterms:modified xsi:type="dcterms:W3CDTF">2024-02-25T02:42:16Z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42E7C45E6EA04139AAF99B8AB88EB2A2_13</vt:lpwstr>
  </property>
</Properties>
</file>